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40AA8">
      <w:pPr>
        <w:spacing w:before="2400"/>
        <w:jc w:val="center"/>
      </w:pPr>
      <w:r>
        <w:rPr>
          <w:rFonts w:ascii="微软雅黑" w:hAnsi="微软雅黑" w:eastAsia="微软雅黑"/>
          <w:b/>
          <w:color w:val="1F497D"/>
          <w:sz w:val="72"/>
        </w:rPr>
        <w:t>月度工作报告</w:t>
      </w:r>
    </w:p>
    <w:p w14:paraId="0BF0DF82">
      <w:pPr>
        <w:jc w:val="center"/>
      </w:pPr>
      <w:r>
        <w:rPr>
          <w:rFonts w:ascii="微软雅黑" w:hAnsi="微软雅黑" w:eastAsia="微软雅黑"/>
          <w:b/>
          <w:color w:val="595959"/>
          <w:sz w:val="56"/>
        </w:rPr>
        <w:t>2026年8月</w:t>
      </w:r>
    </w:p>
    <w:p w14:paraId="5677BBBF">
      <w:bookmarkStart w:id="0" w:name="_GoBack"/>
      <w:bookmarkEnd w:id="0"/>
    </w:p>
    <w:p w14:paraId="7CDDF47F"/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3"/>
        <w:gridCol w:w="4873"/>
      </w:tblGrid>
      <w:tr w14:paraId="0A165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1F497D" w:sz="8" w:space="0"/>
              <w:left w:val="single" w:color="1F497D" w:sz="8" w:space="0"/>
              <w:bottom w:val="single" w:color="1F497D" w:sz="8" w:space="0"/>
              <w:right w:val="single" w:color="1F497D" w:sz="8" w:space="0"/>
            </w:tcBorders>
            <w:shd w:val="clear" w:color="auto" w:fill="1F497D"/>
            <w:vAlign w:val="center"/>
          </w:tcPr>
          <w:p w14:paraId="7669A789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6"/>
              </w:rPr>
              <w:t>报 告 人</w:t>
            </w:r>
          </w:p>
        </w:tc>
        <w:tc>
          <w:tcPr>
            <w:tcW w:w="3456" w:type="dxa"/>
            <w:tcBorders>
              <w:top w:val="single" w:color="1F497D" w:sz="8" w:space="0"/>
              <w:left w:val="single" w:color="1F497D" w:sz="8" w:space="0"/>
              <w:bottom w:val="single" w:color="1F497D" w:sz="8" w:space="0"/>
              <w:right w:val="single" w:color="1F497D" w:sz="8" w:space="0"/>
            </w:tcBorders>
            <w:vAlign w:val="center"/>
          </w:tcPr>
          <w:p w14:paraId="02154B94">
            <w:pPr>
              <w:jc w:val="center"/>
            </w:pPr>
            <w:r>
              <w:rPr>
                <w:rFonts w:ascii="微软雅黑" w:hAnsi="微软雅黑" w:eastAsia="微软雅黑"/>
                <w:b w:val="0"/>
                <w:sz w:val="26"/>
              </w:rPr>
              <w:t>葛昀（智慧运维研发组）</w:t>
            </w:r>
          </w:p>
        </w:tc>
      </w:tr>
      <w:tr w14:paraId="04552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1F497D" w:sz="8" w:space="0"/>
              <w:left w:val="single" w:color="1F497D" w:sz="8" w:space="0"/>
              <w:bottom w:val="single" w:color="1F497D" w:sz="8" w:space="0"/>
              <w:right w:val="single" w:color="1F497D" w:sz="8" w:space="0"/>
            </w:tcBorders>
            <w:shd w:val="clear" w:color="auto" w:fill="1F497D"/>
            <w:vAlign w:val="center"/>
          </w:tcPr>
          <w:p w14:paraId="243F68E9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6"/>
              </w:rPr>
              <w:t>报告周期</w:t>
            </w:r>
          </w:p>
        </w:tc>
        <w:tc>
          <w:tcPr>
            <w:tcW w:w="3456" w:type="dxa"/>
            <w:tcBorders>
              <w:top w:val="single" w:color="1F497D" w:sz="8" w:space="0"/>
              <w:left w:val="single" w:color="1F497D" w:sz="8" w:space="0"/>
              <w:bottom w:val="single" w:color="1F497D" w:sz="8" w:space="0"/>
              <w:right w:val="single" w:color="1F497D" w:sz="8" w:space="0"/>
            </w:tcBorders>
            <w:vAlign w:val="center"/>
          </w:tcPr>
          <w:p w14:paraId="2756A412">
            <w:pPr>
              <w:jc w:val="center"/>
            </w:pPr>
            <w:r>
              <w:rPr>
                <w:rFonts w:ascii="微软雅黑" w:hAnsi="微软雅黑" w:eastAsia="微软雅黑"/>
                <w:b w:val="0"/>
                <w:sz w:val="26"/>
              </w:rPr>
              <w:t>2026.08.01 — 2026.08.31</w:t>
            </w:r>
          </w:p>
        </w:tc>
      </w:tr>
      <w:tr w14:paraId="36273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1F497D" w:sz="8" w:space="0"/>
              <w:left w:val="single" w:color="1F497D" w:sz="8" w:space="0"/>
              <w:bottom w:val="single" w:color="1F497D" w:sz="8" w:space="0"/>
              <w:right w:val="single" w:color="1F497D" w:sz="8" w:space="0"/>
            </w:tcBorders>
            <w:shd w:val="clear" w:color="auto" w:fill="1F497D"/>
            <w:vAlign w:val="center"/>
          </w:tcPr>
          <w:p w14:paraId="0F35EB23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6"/>
              </w:rPr>
              <w:t>汇报对象</w:t>
            </w:r>
          </w:p>
        </w:tc>
        <w:tc>
          <w:tcPr>
            <w:tcW w:w="3456" w:type="dxa"/>
            <w:tcBorders>
              <w:top w:val="single" w:color="1F497D" w:sz="8" w:space="0"/>
              <w:left w:val="single" w:color="1F497D" w:sz="8" w:space="0"/>
              <w:bottom w:val="single" w:color="1F497D" w:sz="8" w:space="0"/>
              <w:right w:val="single" w:color="1F497D" w:sz="8" w:space="0"/>
            </w:tcBorders>
            <w:vAlign w:val="center"/>
          </w:tcPr>
          <w:p w14:paraId="7C3C2BBC">
            <w:pPr>
              <w:jc w:val="center"/>
            </w:pPr>
            <w:r>
              <w:rPr>
                <w:rFonts w:ascii="微软雅黑" w:hAnsi="微软雅黑" w:eastAsia="微软雅黑"/>
                <w:b w:val="0"/>
                <w:sz w:val="26"/>
              </w:rPr>
              <w:t>部门负责人</w:t>
            </w:r>
          </w:p>
        </w:tc>
      </w:tr>
      <w:tr w14:paraId="63BFC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1F497D" w:sz="8" w:space="0"/>
              <w:left w:val="single" w:color="1F497D" w:sz="8" w:space="0"/>
              <w:bottom w:val="single" w:color="1F497D" w:sz="8" w:space="0"/>
              <w:right w:val="single" w:color="1F497D" w:sz="8" w:space="0"/>
            </w:tcBorders>
            <w:shd w:val="clear" w:color="auto" w:fill="1F497D"/>
            <w:vAlign w:val="center"/>
          </w:tcPr>
          <w:p w14:paraId="67BAA726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6"/>
              </w:rPr>
              <w:t>报告日期</w:t>
            </w:r>
          </w:p>
        </w:tc>
        <w:tc>
          <w:tcPr>
            <w:tcW w:w="3456" w:type="dxa"/>
            <w:tcBorders>
              <w:top w:val="single" w:color="1F497D" w:sz="8" w:space="0"/>
              <w:left w:val="single" w:color="1F497D" w:sz="8" w:space="0"/>
              <w:bottom w:val="single" w:color="1F497D" w:sz="8" w:space="0"/>
              <w:right w:val="single" w:color="1F497D" w:sz="8" w:space="0"/>
            </w:tcBorders>
            <w:vAlign w:val="center"/>
          </w:tcPr>
          <w:p w14:paraId="415403E1">
            <w:pPr>
              <w:jc w:val="center"/>
            </w:pPr>
            <w:r>
              <w:rPr>
                <w:rFonts w:ascii="微软雅黑" w:hAnsi="微软雅黑" w:eastAsia="微软雅黑"/>
                <w:b w:val="0"/>
                <w:sz w:val="26"/>
              </w:rPr>
              <w:t>2026 年 9 月</w:t>
            </w:r>
          </w:p>
        </w:tc>
      </w:tr>
    </w:tbl>
    <w:p w14:paraId="6E802F7F"/>
    <w:p w14:paraId="634D77F8"/>
    <w:p w14:paraId="22DB0A0E"/>
    <w:p w14:paraId="78A110A8"/>
    <w:p w14:paraId="37F4286F"/>
    <w:p w14:paraId="22BABED7">
      <w:pPr>
        <w:jc w:val="center"/>
      </w:pPr>
      <w:r>
        <w:rPr>
          <w:rFonts w:ascii="微软雅黑" w:hAnsi="微软雅黑" w:eastAsia="微软雅黑"/>
          <w:color w:val="787878"/>
          <w:sz w:val="22"/>
        </w:rPr>
        <w:t>机器人智慧服务系统 · 葛昀</w:t>
      </w:r>
    </w:p>
    <w:p w14:paraId="271D8FC3">
      <w:r>
        <w:br w:type="page"/>
      </w:r>
    </w:p>
    <w:p w14:paraId="5D78B8A2">
      <w:pPr>
        <w:pBdr>
          <w:bottom w:val="single" w:color="1F497D" w:sz="12" w:space="4"/>
        </w:pBdr>
        <w:spacing w:before="280" w:after="160"/>
        <w:jc w:val="left"/>
      </w:pPr>
      <w:r>
        <w:rPr>
          <w:rFonts w:ascii="微软雅黑" w:hAnsi="微软雅黑" w:eastAsia="微软雅黑"/>
          <w:b/>
          <w:color w:val="1F497D"/>
          <w:sz w:val="36"/>
        </w:rPr>
        <w:t>一、本月工作总览</w:t>
      </w:r>
    </w:p>
    <w:p w14:paraId="1347D527">
      <w:pPr>
        <w:spacing w:after="80"/>
        <w:ind w:firstLine="420"/>
        <w:jc w:val="both"/>
      </w:pPr>
      <w:r>
        <w:rPr>
          <w:rFonts w:ascii="微软雅黑" w:hAnsi="微软雅黑" w:eastAsia="微软雅黑"/>
          <w:b w:val="0"/>
          <w:sz w:val="21"/>
        </w:rPr>
        <w:t>本月（2026.08.01 — 2026.08.31），本人主要围绕「光伏机器人智慧运维系统」的稳定性提升、功能迭代、跨端联调 与文档沉淀四条主线开展工作，累计完成代码提交 58 次，涵盖设备控制权限重构、WebSocket 通信优化、视频与日志管理模块建设、iOS/Android 双端协同、AI 大模型版本升级、软件著作权申报等多项重点工作。</w:t>
      </w:r>
    </w:p>
    <w:p w14:paraId="38AA1C8D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1.1 本月核心数据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9"/>
        <w:gridCol w:w="3249"/>
        <w:gridCol w:w="3249"/>
      </w:tblGrid>
      <w:tr w14:paraId="237D0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23C7BEB8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指标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52C7466C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数值</w:t>
            </w:r>
          </w:p>
        </w:tc>
        <w:tc>
          <w:tcPr>
            <w:tcW w:w="518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72B52D70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说明</w:t>
            </w:r>
          </w:p>
        </w:tc>
      </w:tr>
      <w:tr w14:paraId="03FF5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C6F62B0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代码提交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89DCEE5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58 次</w:t>
            </w:r>
          </w:p>
        </w:tc>
        <w:tc>
          <w:tcPr>
            <w:tcW w:w="518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A7F0116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git 提交，覆盖 8 个主要迭代方向</w:t>
            </w:r>
          </w:p>
        </w:tc>
      </w:tr>
      <w:tr w14:paraId="70167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63BF52BE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工作主线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0FD1B994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4 条</w:t>
            </w:r>
          </w:p>
        </w:tc>
        <w:tc>
          <w:tcPr>
            <w:tcW w:w="518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61A1243B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稳定性 / 功能迭代 / 跨端联调 / 文档沉淀</w:t>
            </w:r>
          </w:p>
        </w:tc>
      </w:tr>
      <w:tr w14:paraId="67463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B2C5E94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周报输出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DEC2491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5 篇</w:t>
            </w:r>
          </w:p>
        </w:tc>
        <w:tc>
          <w:tcPr>
            <w:tcW w:w="518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350E2BB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覆盖 8 月完整工作节奏</w:t>
            </w:r>
          </w:p>
        </w:tc>
      </w:tr>
      <w:tr w14:paraId="08200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0E505180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关键里程碑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2715183D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6 项</w:t>
            </w:r>
          </w:p>
        </w:tc>
        <w:tc>
          <w:tcPr>
            <w:tcW w:w="518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2840A4BF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WS 重构、视频模型升权、二级路由权开等</w:t>
            </w:r>
          </w:p>
        </w:tc>
      </w:tr>
      <w:tr w14:paraId="73C04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9C834CB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跨团队联调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4F647DC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1 项</w:t>
            </w:r>
          </w:p>
        </w:tc>
        <w:tc>
          <w:tcPr>
            <w:tcW w:w="518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1E88D14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苏州算法团队路径规划全流程联调</w:t>
            </w:r>
          </w:p>
        </w:tc>
      </w:tr>
      <w:tr w14:paraId="3BDBA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7C48A578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联调演示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0B7C2B3E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2 次</w:t>
            </w:r>
          </w:p>
        </w:tc>
        <w:tc>
          <w:tcPr>
            <w:tcW w:w="518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244AD84B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现场联调保障、展会演示支持</w:t>
            </w:r>
          </w:p>
        </w:tc>
      </w:tr>
      <w:tr w14:paraId="146B0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917E54F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文档输出</w:t>
            </w:r>
          </w:p>
        </w:tc>
        <w:tc>
          <w:tcPr>
            <w:tcW w:w="201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BD624EB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3 份</w:t>
            </w:r>
          </w:p>
        </w:tc>
        <w:tc>
          <w:tcPr>
            <w:tcW w:w="518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5522FD8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用户手册、软著采集表、SOP 操作文档</w:t>
            </w:r>
          </w:p>
        </w:tc>
      </w:tr>
    </w:tbl>
    <w:p w14:paraId="6011C3C3"/>
    <w:p w14:paraId="22D13B5C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1.2 本月整体工作亮点</w:t>
      </w:r>
    </w:p>
    <w:p w14:paraId="395AB96F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【控制权限】重构设备控制权限体系，由「单用户单设备」升级为「单设备单 Token」，彻底避免权限混乱、残留占用问题；并完成 Web/APP 跨端抢占与释放的全场景闭环测试。</w:t>
      </w:r>
    </w:p>
    <w:p w14:paraId="44FBF28D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【联调突破】与苏州算法团队完成路径规划全流程联调——打点 → 数据保存 → 规划指令下发 → 算法回执 → 地图可视化展示规划路径与实时轨迹，业务链路完整跑通。</w:t>
      </w:r>
    </w:p>
    <w:p w14:paraId="5EC26926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【架构升级】完成系统路由从一级到二级架构改造，页面跳转更清晰。</w:t>
      </w:r>
    </w:p>
    <w:p w14:paraId="763C52BC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【国际化】完成平台核心业务界面中英文双语切换，覆盖日常高频使用页面；为多语言场景落地提供基础。</w:t>
      </w:r>
    </w:p>
    <w:p w14:paraId="4DB572F2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【文档产出】独立输出用户操作手册（含 16 张页面截图）、软著采集表（20 个字段全覆盖）、以及标准 SOP 操作文档，便于后续交接与维护。</w:t>
      </w:r>
    </w:p>
    <w:p w14:paraId="1FE88638">
      <w:r>
        <w:br w:type="page"/>
      </w:r>
    </w:p>
    <w:p w14:paraId="3FCB0517">
      <w:pPr>
        <w:pBdr>
          <w:bottom w:val="single" w:color="1F497D" w:sz="12" w:space="4"/>
        </w:pBdr>
        <w:spacing w:before="280" w:after="160"/>
        <w:jc w:val="left"/>
      </w:pPr>
      <w:r>
        <w:rPr>
          <w:rFonts w:ascii="微软雅黑" w:hAnsi="微软雅黑" w:eastAsia="微软雅黑"/>
          <w:b/>
          <w:color w:val="1F497D"/>
          <w:sz w:val="36"/>
        </w:rPr>
        <w:t>二、各周工作详情</w:t>
      </w:r>
    </w:p>
    <w:p w14:paraId="0A5E5DA5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第 1 周（8/1 – 8/7）：控制权限重构 + WS 通信优化</w:t>
      </w:r>
    </w:p>
    <w:p w14:paraId="1923B80D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工作主题</w:t>
      </w:r>
    </w:p>
    <w:p w14:paraId="73A24F77">
      <w:pPr>
        <w:spacing w:after="80"/>
        <w:ind w:firstLine="420"/>
        <w:jc w:val="left"/>
      </w:pPr>
      <w:r>
        <w:rPr>
          <w:rFonts w:ascii="微软雅黑" w:hAnsi="微软雅黑" w:eastAsia="微软雅黑"/>
          <w:b w:val="0"/>
          <w:sz w:val="21"/>
        </w:rPr>
        <w:t>智慧运维系统平台底层通信机制优化、设备控制权限架构升级、跨团队算法联调启动。</w:t>
      </w:r>
    </w:p>
    <w:p w14:paraId="2C4F0C54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具体工作</w:t>
      </w:r>
    </w:p>
    <w:p w14:paraId="239153D9">
      <w:pPr>
        <w:pStyle w:val="14"/>
        <w:spacing w:after="40"/>
      </w:pPr>
      <w:r>
        <w:rPr>
          <w:rFonts w:ascii="微软雅黑" w:hAnsi="微软雅黑" w:eastAsia="微软雅黑"/>
          <w:sz w:val="21"/>
        </w:rPr>
        <w:t>优化 WebSocket 连接机制：实现单页面仅维持一次 WS 连接，路由切换自动销毁，避免多页面重复连接、消息错乱与后台心跳堆积。</w:t>
      </w:r>
    </w:p>
    <w:p w14:paraId="6FAEBC16">
      <w:pPr>
        <w:pStyle w:val="14"/>
        <w:spacing w:after="40"/>
      </w:pPr>
      <w:r>
        <w:rPr>
          <w:rFonts w:ascii="微软雅黑" w:hAnsi="微软雅黑" w:eastAsia="微软雅黑"/>
          <w:sz w:val="21"/>
        </w:rPr>
        <w:t>重构设备控制权限体系：从「单用户单设备控制」升级为「单设备单 Token 唯一占用」机制，保证同一时间一台设备仅被一个有效连接控制。</w:t>
      </w:r>
    </w:p>
    <w:p w14:paraId="259BAB51">
      <w:pPr>
        <w:pStyle w:val="14"/>
        <w:spacing w:after="40"/>
      </w:pPr>
      <w:r>
        <w:rPr>
          <w:rFonts w:ascii="微软雅黑" w:hAnsi="微软雅黑" w:eastAsia="微软雅黑"/>
          <w:sz w:val="21"/>
        </w:rPr>
        <w:t>新增主动释放权限功能，并完成闭环测试：Web 不同账号切换、Web 同账号页面切换、Web 与 APP 跨端权限交替抢占与释放。</w:t>
      </w:r>
    </w:p>
    <w:p w14:paraId="6309C24A">
      <w:pPr>
        <w:pStyle w:val="14"/>
        <w:spacing w:after="40"/>
      </w:pPr>
      <w:r>
        <w:rPr>
          <w:rFonts w:ascii="微软雅黑" w:hAnsi="微软雅黑" w:eastAsia="微软雅黑"/>
          <w:sz w:val="21"/>
        </w:rPr>
        <w:t>与苏州算法团队深度联调路径规划功能：完成设备打点、路径数据保存、规划指令下发、算法回执接收等完整交互流程；地图可视化绘制规划轨迹与实时行走路径。</w:t>
      </w:r>
    </w:p>
    <w:p w14:paraId="20EF72EC">
      <w:pPr>
        <w:pStyle w:val="14"/>
        <w:spacing w:after="40"/>
      </w:pPr>
      <w:r>
        <w:rPr>
          <w:rFonts w:ascii="微软雅黑" w:hAnsi="微软雅黑" w:eastAsia="微软雅黑"/>
          <w:sz w:val="21"/>
        </w:rPr>
        <w:t>全程指导 APP 端完成路径规划全套业务流程适配与调试，配合团队完成苏州现场机器演示调试与保障。</w:t>
      </w:r>
    </w:p>
    <w:p w14:paraId="2C061866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本周产出</w:t>
      </w:r>
    </w:p>
    <w:p w14:paraId="51D260E4">
      <w:pPr>
        <w:spacing w:before="120" w:after="40"/>
        <w:jc w:val="center"/>
      </w:pPr>
      <w:r>
        <w:drawing>
          <wp:inline distT="0" distB="0" distL="114300" distR="114300">
            <wp:extent cx="4114800" cy="2314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4D1C9">
      <w:pPr>
        <w:spacing w:after="200"/>
        <w:jc w:val="center"/>
      </w:pPr>
      <w:r>
        <w:rPr>
          <w:rFonts w:ascii="微软雅黑" w:hAnsi="微软雅黑" w:eastAsia="微软雅黑"/>
          <w:i/>
          <w:color w:val="595959"/>
          <w:sz w:val="18"/>
        </w:rPr>
        <w:t>图  系统登录界面 — 8 月初持续优化登录态</w:t>
      </w:r>
    </w:p>
    <w:p w14:paraId="1704E96E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第 2 周（8/8 – 8/14）：联调推进 + 组件迭代 + 文档沉淀</w:t>
      </w:r>
    </w:p>
    <w:p w14:paraId="6D836320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工作主题</w:t>
      </w:r>
    </w:p>
    <w:p w14:paraId="34EC1260">
      <w:pPr>
        <w:spacing w:after="80"/>
        <w:ind w:firstLine="420"/>
        <w:jc w:val="left"/>
      </w:pPr>
      <w:r>
        <w:rPr>
          <w:rFonts w:ascii="微软雅黑" w:hAnsi="微软雅黑" w:eastAsia="微软雅黑"/>
          <w:b w:val="0"/>
          <w:sz w:val="21"/>
        </w:rPr>
        <w:t>持续推进路径规划联调、平台基础功能完善、性能优化组件迭代，并沉淀 SOP 操作文档。</w:t>
      </w:r>
    </w:p>
    <w:p w14:paraId="1B9FF80F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具体工作</w:t>
      </w:r>
    </w:p>
    <w:p w14:paraId="52C8475E">
      <w:pPr>
        <w:pStyle w:val="14"/>
        <w:spacing w:after="40"/>
      </w:pPr>
      <w:r>
        <w:rPr>
          <w:rFonts w:ascii="微软雅黑" w:hAnsi="微软雅黑" w:eastAsia="微软雅黑"/>
          <w:sz w:val="21"/>
        </w:rPr>
        <w:t>苏州路径规划联调持续推进，完成设备状态界面打点功能调试：机器在线状态、经纬度数据正常上报，实时轨迹打点运行正常。</w:t>
      </w:r>
    </w:p>
    <w:p w14:paraId="391FACE4">
      <w:pPr>
        <w:pStyle w:val="14"/>
        <w:spacing w:after="40"/>
      </w:pPr>
      <w:r>
        <w:rPr>
          <w:rFonts w:ascii="微软雅黑" w:hAnsi="微软雅黑" w:eastAsia="微软雅黑"/>
          <w:sz w:val="21"/>
        </w:rPr>
        <w:t>控制权限逻辑重构优化：基于新权限架构重构平台控制代码，彻底移除老旧权限逻辑；优化 Web 端路由切换时的控制权限释放机制，解决权限滞留。</w:t>
      </w:r>
    </w:p>
    <w:p w14:paraId="607632FE">
      <w:pPr>
        <w:pStyle w:val="14"/>
        <w:spacing w:after="40"/>
      </w:pPr>
      <w:r>
        <w:rPr>
          <w:rFonts w:ascii="微软雅黑" w:hAnsi="微软雅黑" w:eastAsia="微软雅黑"/>
          <w:sz w:val="21"/>
        </w:rPr>
        <w:t>性能优化与组件迭代：完成路由组件拆分优化、精简冗余代码、优化加载逻辑，提升路由跳转速度；修复 WebSocket 切换时序差导致的历史数据残留。</w:t>
      </w:r>
    </w:p>
    <w:p w14:paraId="0950A436">
      <w:pPr>
        <w:pStyle w:val="14"/>
        <w:spacing w:after="40"/>
      </w:pPr>
      <w:r>
        <w:rPr>
          <w:rFonts w:ascii="微软雅黑" w:hAnsi="微软雅黑" w:eastAsia="微软雅黑"/>
          <w:sz w:val="21"/>
        </w:rPr>
        <w:t>基础功能模块完善：完成系统基本设置模块迭代，新增「用户角色概览」「角色权限概览」；完成电站地址功能接入，支持自定义修改场站地址。</w:t>
      </w:r>
    </w:p>
    <w:p w14:paraId="2E9180F5">
      <w:pPr>
        <w:pStyle w:val="14"/>
        <w:spacing w:after="40"/>
      </w:pPr>
      <w:r>
        <w:rPr>
          <w:rFonts w:ascii="微软雅黑" w:hAnsi="微软雅黑" w:eastAsia="微软雅黑"/>
          <w:sz w:val="21"/>
        </w:rPr>
        <w:t>文档沉淀：梳理 Web 端路径规划完整操作流程，编写标准化 SOP 操作文档，统一操作规范。</w:t>
      </w:r>
    </w:p>
    <w:p w14:paraId="20A918CB">
      <w:pPr>
        <w:pStyle w:val="14"/>
        <w:spacing w:after="40"/>
      </w:pPr>
      <w:r>
        <w:rPr>
          <w:rFonts w:ascii="微软雅黑" w:hAnsi="微软雅黑" w:eastAsia="微软雅黑"/>
          <w:sz w:val="21"/>
        </w:rPr>
        <w:t>现场演示调试：配合机器展会演示调试与保障工作，确保现场演示顺利开展。</w:t>
      </w:r>
    </w:p>
    <w:p w14:paraId="34F95F2D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本周产出</w:t>
      </w:r>
    </w:p>
    <w:p w14:paraId="46BEA303">
      <w:pPr>
        <w:spacing w:before="120" w:after="40"/>
        <w:jc w:val="center"/>
      </w:pPr>
      <w:r>
        <w:drawing>
          <wp:inline distT="0" distB="0" distL="114300" distR="114300">
            <wp:extent cx="2377440" cy="1337310"/>
            <wp:effectExtent l="0" t="0" r="1016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E34BC">
      <w:pPr>
        <w:spacing w:after="200"/>
        <w:jc w:val="center"/>
        <w:rPr>
          <w:rFonts w:ascii="微软雅黑" w:hAnsi="微软雅黑" w:eastAsia="微软雅黑"/>
          <w:i/>
          <w:color w:val="595959"/>
          <w:sz w:val="18"/>
        </w:rPr>
      </w:pPr>
      <w:r>
        <w:rPr>
          <w:rFonts w:ascii="微软雅黑" w:hAnsi="微软雅黑" w:eastAsia="微软雅黑"/>
          <w:i/>
          <w:color w:val="595959"/>
          <w:sz w:val="18"/>
        </w:rPr>
        <w:t>图  系统设置 — 用户/角色模块优化</w:t>
      </w:r>
    </w:p>
    <w:p w14:paraId="395193EE">
      <w:pPr>
        <w:spacing w:after="200"/>
        <w:jc w:val="center"/>
        <w:rPr>
          <w:rFonts w:hint="eastAsia" w:ascii="微软雅黑" w:hAnsi="微软雅黑" w:eastAsia="微软雅黑"/>
          <w:i/>
          <w:color w:val="595959"/>
          <w:sz w:val="18"/>
          <w:lang w:eastAsia="zh-CN"/>
        </w:rPr>
      </w:pPr>
      <w:r>
        <w:rPr>
          <w:rFonts w:hint="eastAsia" w:ascii="微软雅黑" w:hAnsi="微软雅黑" w:eastAsia="微软雅黑"/>
          <w:i/>
          <w:color w:val="595959"/>
          <w:sz w:val="18"/>
          <w:lang w:eastAsia="zh-CN"/>
        </w:rPr>
        <w:drawing>
          <wp:inline distT="0" distB="0" distL="114300" distR="114300">
            <wp:extent cx="4152265" cy="2886075"/>
            <wp:effectExtent l="0" t="0" r="635" b="9525"/>
            <wp:docPr id="20" name="图片 20" descr="08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828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7D268">
      <w:pPr>
        <w:spacing w:after="200"/>
        <w:jc w:val="center"/>
        <w:rPr>
          <w:rFonts w:hint="default" w:ascii="微软雅黑" w:hAnsi="微软雅黑" w:eastAsia="微软雅黑"/>
          <w:i/>
          <w:color w:val="595959"/>
          <w:sz w:val="18"/>
          <w:lang w:val="en-US" w:eastAsia="zh-CN"/>
        </w:rPr>
      </w:pPr>
      <w:r>
        <w:rPr>
          <w:rFonts w:ascii="微软雅黑" w:hAnsi="微软雅黑" w:eastAsia="微软雅黑"/>
          <w:i/>
          <w:color w:val="595959"/>
          <w:sz w:val="18"/>
        </w:rPr>
        <w:t xml:space="preserve">图  </w:t>
      </w:r>
      <w:r>
        <w:rPr>
          <w:rFonts w:hint="eastAsia"/>
          <w:i/>
          <w:color w:val="595959"/>
          <w:sz w:val="18"/>
          <w:lang w:val="en-US" w:eastAsia="zh-CN"/>
        </w:rPr>
        <w:t>机器人任务</w:t>
      </w:r>
      <w:r>
        <w:rPr>
          <w:rFonts w:ascii="微软雅黑" w:hAnsi="微软雅黑" w:eastAsia="微软雅黑"/>
          <w:i/>
          <w:color w:val="595959"/>
          <w:sz w:val="18"/>
        </w:rPr>
        <w:t xml:space="preserve"> — </w:t>
      </w:r>
      <w:r>
        <w:rPr>
          <w:rFonts w:hint="eastAsia"/>
          <w:i/>
          <w:color w:val="595959"/>
          <w:sz w:val="18"/>
          <w:lang w:val="en-US" w:eastAsia="zh-CN"/>
        </w:rPr>
        <w:t>路径规划</w:t>
      </w:r>
    </w:p>
    <w:p w14:paraId="5804E581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第 3 周（8/15 – 8/21）：视频日志改造 + 国际化 + 软著推进</w:t>
      </w:r>
    </w:p>
    <w:p w14:paraId="3995E275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工作主题</w:t>
      </w:r>
    </w:p>
    <w:p w14:paraId="34AE4E75">
      <w:pPr>
        <w:spacing w:after="80"/>
        <w:ind w:firstLine="420"/>
        <w:jc w:val="left"/>
      </w:pPr>
      <w:r>
        <w:rPr>
          <w:rFonts w:ascii="微软雅黑" w:hAnsi="微软雅黑" w:eastAsia="微软雅黑"/>
          <w:b w:val="0"/>
          <w:sz w:val="21"/>
        </w:rPr>
        <w:t>完成iOS 适配指导、系统中英文国际化、APP 端优化及软著申报材料撰写。</w:t>
      </w:r>
    </w:p>
    <w:p w14:paraId="0543A06F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具体工作</w:t>
      </w:r>
    </w:p>
    <w:p w14:paraId="463E4006">
      <w:pPr>
        <w:pStyle w:val="14"/>
        <w:spacing w:after="40"/>
      </w:pPr>
      <w:r>
        <w:rPr>
          <w:rFonts w:ascii="微软雅黑" w:hAnsi="微软雅黑" w:eastAsia="微软雅黑"/>
          <w:sz w:val="21"/>
        </w:rPr>
        <w:t>iOS 适配指导与技术文档沉淀：协助指导 APP 苹果端相关功能实现，独立整理并输出 ios.md 技术文档，统一调试规范与适配细节。</w:t>
      </w:r>
    </w:p>
    <w:p w14:paraId="00FEF2FC">
      <w:pPr>
        <w:pStyle w:val="14"/>
        <w:spacing w:after="40"/>
      </w:pPr>
      <w:r>
        <w:rPr>
          <w:rFonts w:ascii="微软雅黑" w:hAnsi="微软雅黑" w:eastAsia="微软雅黑"/>
          <w:sz w:val="21"/>
        </w:rPr>
        <w:t>系统中英文国际化适配：完成平台核心业务界面的中英文双语切换功能开发，覆盖日常使用高频页面，满足多语言使用场景。</w:t>
      </w:r>
    </w:p>
    <w:p w14:paraId="1AB98BD4">
      <w:pPr>
        <w:pStyle w:val="14"/>
        <w:spacing w:after="40"/>
      </w:pPr>
      <w:r>
        <w:rPr>
          <w:rFonts w:ascii="微软雅黑" w:hAnsi="微软雅黑" w:eastAsia="微软雅黑"/>
          <w:sz w:val="21"/>
        </w:rPr>
        <w:t>APP 端功能优化：指导 APP 端完成视频推拉流控制功能开发与调试；优化无人机实时数据展示逻辑，提升数据刷新实时性与页面展示效果。</w:t>
      </w:r>
    </w:p>
    <w:p w14:paraId="488C51C3">
      <w:pPr>
        <w:pStyle w:val="14"/>
        <w:spacing w:after="40"/>
      </w:pPr>
      <w:r>
        <w:rPr>
          <w:rFonts w:ascii="微软雅黑" w:hAnsi="微软雅黑" w:eastAsia="微软雅黑"/>
          <w:sz w:val="21"/>
        </w:rPr>
        <w:t>软件著作权申报：结合平台现有功能、业务架构与技术实现，独立完成软著申报材料撰写，梳理系统创新点、功能架构与应用场景。</w:t>
      </w:r>
    </w:p>
    <w:p w14:paraId="4DA83803">
      <w:pPr>
        <w:pStyle w:val="14"/>
        <w:spacing w:after="40"/>
      </w:pPr>
      <w:r>
        <w:rPr>
          <w:rFonts w:ascii="微软雅黑" w:hAnsi="微软雅黑" w:eastAsia="微软雅黑"/>
          <w:sz w:val="21"/>
        </w:rPr>
        <w:t>AI 大模型版本升级：根据项目智能化迭代要求，将原有模型统一更新为 GPT-5.6 版本，进一步提升平台智能化服务能力。</w:t>
      </w:r>
    </w:p>
    <w:p w14:paraId="57E07AC6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第 4 周（8/22 – 8/28）：路由重构 + 设备参数编辑 + 定时任务</w:t>
      </w:r>
    </w:p>
    <w:p w14:paraId="4969C77F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工作主题</w:t>
      </w:r>
    </w:p>
    <w:p w14:paraId="22694170">
      <w:pPr>
        <w:spacing w:after="80"/>
        <w:ind w:firstLine="420"/>
        <w:jc w:val="left"/>
      </w:pPr>
      <w:r>
        <w:rPr>
          <w:rFonts w:ascii="微软雅黑" w:hAnsi="微软雅黑" w:eastAsia="微软雅黑"/>
          <w:b w:val="0"/>
          <w:sz w:val="21"/>
        </w:rPr>
        <w:t>完成系统路由架构从一级到二级改造、设备参数编辑功能迭代开发与测试、定时任务功能落实。</w:t>
      </w:r>
    </w:p>
    <w:p w14:paraId="1753B16E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具体工作</w:t>
      </w:r>
    </w:p>
    <w:p w14:paraId="6F1182B8">
      <w:pPr>
        <w:pStyle w:val="14"/>
        <w:spacing w:after="40"/>
      </w:pPr>
      <w:r>
        <w:rPr>
          <w:rFonts w:ascii="微软雅黑" w:hAnsi="微软雅黑" w:eastAsia="微软雅黑"/>
          <w:sz w:val="21"/>
        </w:rPr>
        <w:t>路由架构整体优化升级：将原有一级路由改造为二级路由体系，梳理规整页面层级结构；针对性修复更换路由框架带来的适配问题。</w:t>
      </w:r>
    </w:p>
    <w:p w14:paraId="48463062">
      <w:pPr>
        <w:pStyle w:val="14"/>
        <w:spacing w:after="40"/>
      </w:pPr>
      <w:r>
        <w:rPr>
          <w:rFonts w:ascii="微软雅黑" w:hAnsi="微软雅黑" w:eastAsia="微软雅黑"/>
          <w:sz w:val="21"/>
        </w:rPr>
        <w:t>设备参数编辑功能迭代：完成 Web 端与 APP 端设备参数修改功能开发；新增授权机制管控参数修改权限，Web 端可自定义配置设备参数可修改时长。</w:t>
      </w:r>
    </w:p>
    <w:p w14:paraId="68D24BE3">
      <w:pPr>
        <w:pStyle w:val="14"/>
        <w:spacing w:after="40"/>
      </w:pPr>
      <w:r>
        <w:rPr>
          <w:rFonts w:ascii="微软雅黑" w:hAnsi="微软雅黑" w:eastAsia="微软雅黑"/>
          <w:sz w:val="21"/>
        </w:rPr>
        <w:t>双端授权与权限控制：根据授权信息自动判断用户操作权限，实现参数编辑功能的可用性精准控制。</w:t>
      </w:r>
    </w:p>
    <w:p w14:paraId="2FE2F86F">
      <w:pPr>
        <w:pStyle w:val="14"/>
        <w:spacing w:after="40"/>
      </w:pPr>
      <w:r>
        <w:rPr>
          <w:rFonts w:ascii="微软雅黑" w:hAnsi="微软雅黑" w:eastAsia="微软雅黑"/>
          <w:sz w:val="21"/>
        </w:rPr>
        <w:t>参数滑块联动与组件轻量化：实现参数滑块联动展示效果；对设备参数组件进行抽离重构，新增 loading 加载状态，优化页面加载性能。</w:t>
      </w:r>
    </w:p>
    <w:p w14:paraId="105E9AE5">
      <w:pPr>
        <w:pStyle w:val="14"/>
        <w:spacing w:after="40"/>
      </w:pPr>
      <w:r>
        <w:rPr>
          <w:rFonts w:ascii="微软雅黑" w:hAnsi="微软雅黑" w:eastAsia="微软雅黑"/>
          <w:sz w:val="21"/>
        </w:rPr>
        <w:t>APP 端蓝牙模式适配：完成 APP 端蓝牙模式修改设备参数功能开发与测试，适配不同设备操作场景。</w:t>
      </w:r>
    </w:p>
    <w:p w14:paraId="0C09DC03">
      <w:pPr>
        <w:pStyle w:val="14"/>
        <w:spacing w:after="40"/>
      </w:pPr>
      <w:r>
        <w:rPr>
          <w:rFonts w:ascii="微软雅黑" w:hAnsi="微软雅黑" w:eastAsia="微软雅黑"/>
          <w:sz w:val="21"/>
        </w:rPr>
        <w:t>APP 端优化指导与测试验收：协助 APP 端完成扫码绑定设备、蓝牙/非蓝牙模式适配、授权管控设备参数修改等核心功能优化与全面测试。</w:t>
      </w:r>
    </w:p>
    <w:p w14:paraId="095AA2ED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本周产出</w:t>
      </w:r>
    </w:p>
    <w:p w14:paraId="2C9632B8">
      <w:pPr>
        <w:spacing w:before="120" w:after="40"/>
        <w:jc w:val="center"/>
      </w:pPr>
      <w:r>
        <w:drawing>
          <wp:inline distT="0" distB="0" distL="114300" distR="114300">
            <wp:extent cx="5029200" cy="28289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B0B23">
      <w:pPr>
        <w:spacing w:after="200"/>
        <w:jc w:val="center"/>
      </w:pPr>
      <w:r>
        <w:rPr>
          <w:rFonts w:ascii="微软雅黑" w:hAnsi="微软雅黑" w:eastAsia="微软雅黑"/>
          <w:i/>
          <w:color w:val="595959"/>
          <w:sz w:val="18"/>
        </w:rPr>
        <w:t>图  系统首页 — 二级路由重构后加载更顺畅</w:t>
      </w:r>
    </w:p>
    <w:p w14:paraId="7081A5E9">
      <w:pPr>
        <w:spacing w:before="120" w:after="40"/>
        <w:jc w:val="center"/>
      </w:pPr>
      <w:r>
        <w:drawing>
          <wp:inline distT="0" distB="0" distL="114300" distR="114300">
            <wp:extent cx="6167120" cy="3270885"/>
            <wp:effectExtent l="0" t="0" r="5080" b="571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67120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BBE5E">
      <w:pPr>
        <w:spacing w:after="200"/>
        <w:jc w:val="center"/>
        <w:rPr>
          <w:rFonts w:ascii="微软雅黑" w:hAnsi="微软雅黑" w:eastAsia="微软雅黑"/>
          <w:i/>
          <w:color w:val="595959"/>
          <w:sz w:val="18"/>
        </w:rPr>
      </w:pPr>
      <w:r>
        <w:rPr>
          <w:rFonts w:ascii="微软雅黑" w:hAnsi="微软雅黑" w:eastAsia="微软雅黑"/>
          <w:i/>
          <w:color w:val="595959"/>
          <w:sz w:val="18"/>
        </w:rPr>
        <w:t>图   授权控制</w:t>
      </w:r>
    </w:p>
    <w:p w14:paraId="69023961">
      <w:pPr>
        <w:spacing w:after="200"/>
        <w:jc w:val="center"/>
        <w:rPr>
          <w:rFonts w:hint="eastAsia" w:ascii="微软雅黑" w:hAnsi="微软雅黑" w:eastAsia="微软雅黑"/>
          <w:i/>
          <w:color w:val="595959"/>
          <w:sz w:val="18"/>
          <w:lang w:eastAsia="zh-CN"/>
        </w:rPr>
      </w:pPr>
      <w:r>
        <w:rPr>
          <w:rFonts w:hint="eastAsia" w:ascii="微软雅黑" w:hAnsi="微软雅黑" w:eastAsia="微软雅黑"/>
          <w:i/>
          <w:color w:val="595959"/>
          <w:sz w:val="18"/>
          <w:lang w:eastAsia="zh-CN"/>
        </w:rPr>
        <w:drawing>
          <wp:inline distT="0" distB="0" distL="114300" distR="114300">
            <wp:extent cx="6181725" cy="4343400"/>
            <wp:effectExtent l="0" t="0" r="3175" b="0"/>
            <wp:docPr id="19" name="图片 19" descr="08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08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FA923">
      <w:pPr>
        <w:spacing w:after="200"/>
        <w:jc w:val="center"/>
        <w:rPr>
          <w:rFonts w:hint="default" w:ascii="微软雅黑" w:hAnsi="微软雅黑" w:eastAsia="微软雅黑"/>
          <w:i/>
          <w:color w:val="595959"/>
          <w:sz w:val="18"/>
          <w:lang w:val="en-US" w:eastAsia="zh-CN"/>
        </w:rPr>
      </w:pPr>
      <w:r>
        <w:rPr>
          <w:rFonts w:ascii="微软雅黑" w:hAnsi="微软雅黑" w:eastAsia="微软雅黑"/>
          <w:i/>
          <w:color w:val="595959"/>
          <w:sz w:val="18"/>
        </w:rPr>
        <w:t xml:space="preserve">图   </w:t>
      </w:r>
      <w:r>
        <w:rPr>
          <w:rFonts w:hint="eastAsia"/>
          <w:i/>
          <w:color w:val="595959"/>
          <w:sz w:val="18"/>
          <w:lang w:val="en-US" w:eastAsia="zh-CN"/>
        </w:rPr>
        <w:t>滑块设置参数</w:t>
      </w:r>
    </w:p>
    <w:p w14:paraId="755C9D34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第 5 周（8/29 – 8/31）：全链路闭环测试 + 工单派发 + TodoList</w:t>
      </w:r>
    </w:p>
    <w:p w14:paraId="02E906AB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工作主题</w:t>
      </w:r>
    </w:p>
    <w:p w14:paraId="2514A1FC">
      <w:pPr>
        <w:spacing w:after="80"/>
        <w:ind w:firstLine="420"/>
        <w:jc w:val="left"/>
      </w:pPr>
      <w:r>
        <w:rPr>
          <w:rFonts w:ascii="微软雅黑" w:hAnsi="微软雅黑" w:eastAsia="微软雅黑"/>
          <w:b w:val="0"/>
          <w:sz w:val="21"/>
        </w:rPr>
        <w:t>完成系统全业务链路闭环测试、工单派发功能开发、TodoList 页面建设，APP 端收尾验证。</w:t>
      </w:r>
    </w:p>
    <w:p w14:paraId="43A910ED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具体工作</w:t>
      </w:r>
    </w:p>
    <w:p w14:paraId="100DE419">
      <w:pPr>
        <w:pStyle w:val="14"/>
        <w:spacing w:after="40"/>
      </w:pPr>
      <w:r>
        <w:rPr>
          <w:rFonts w:ascii="微软雅黑" w:hAnsi="微软雅黑" w:eastAsia="微软雅黑"/>
          <w:sz w:val="21"/>
        </w:rPr>
        <w:t>全业务链路闭环测试：完成告警、工单、任务全流程链路逻辑测试——告警触发后自动生成工单、关联告警的工单完成后自动消除、设备异常可重新触发告警。</w:t>
      </w:r>
    </w:p>
    <w:p w14:paraId="730D2BDB">
      <w:pPr>
        <w:pStyle w:val="14"/>
        <w:spacing w:after="40"/>
      </w:pPr>
      <w:r>
        <w:rPr>
          <w:rFonts w:ascii="微软雅黑" w:hAnsi="微软雅黑" w:eastAsia="微软雅黑"/>
          <w:sz w:val="21"/>
        </w:rPr>
        <w:t>告警钉钉推送：支持各场站独立配置开启/关闭钉钉推送权限，实现告警消息灵活推送。</w:t>
      </w:r>
    </w:p>
    <w:p w14:paraId="093C4294">
      <w:pPr>
        <w:pStyle w:val="14"/>
        <w:spacing w:after="40"/>
      </w:pPr>
      <w:r>
        <w:rPr>
          <w:rFonts w:ascii="微软雅黑" w:hAnsi="微软雅黑" w:eastAsia="微软雅黑"/>
          <w:sz w:val="21"/>
        </w:rPr>
        <w:t>工单派发功能开发：新增平台工单手动派发逻辑，支持管理员将各类运维工单定向指派给指定用户，完善工单分配管理机制。</w:t>
      </w:r>
    </w:p>
    <w:p w14:paraId="687A223F">
      <w:pPr>
        <w:pStyle w:val="14"/>
        <w:spacing w:after="40"/>
      </w:pPr>
      <w:r>
        <w:rPr>
          <w:rFonts w:ascii="微软雅黑" w:hAnsi="微软雅黑" w:eastAsia="微软雅黑"/>
          <w:sz w:val="21"/>
        </w:rPr>
        <w:t>设备参数配置功能测试：支持自定义配置设备轮胎增益系数、运行速度等核心参数，页面配置逻辑与参数保存功能运行正常（待下位机联调收尾）。</w:t>
      </w:r>
    </w:p>
    <w:p w14:paraId="3B333C67">
      <w:pPr>
        <w:pStyle w:val="14"/>
        <w:spacing w:after="40"/>
      </w:pPr>
      <w:r>
        <w:rPr>
          <w:rFonts w:ascii="微软雅黑" w:hAnsi="微软雅黑" w:eastAsia="微软雅黑"/>
          <w:sz w:val="21"/>
        </w:rPr>
        <w:t>TodoList 页面建设：完成平台 TodoList 页面搭建，统一录入待优化、待开发、待测试任务点，实现任务可视化、条理化管理。</w:t>
      </w:r>
    </w:p>
    <w:p w14:paraId="5C303DCF">
      <w:pPr>
        <w:pStyle w:val="14"/>
        <w:spacing w:after="40"/>
      </w:pPr>
      <w:r>
        <w:rPr>
          <w:rFonts w:ascii="微软雅黑" w:hAnsi="微软雅黑" w:eastAsia="微软雅黑"/>
          <w:sz w:val="21"/>
        </w:rPr>
        <w:t>APP 端收尾：APP 端绝大部分测试点已完成验证，整体功能基本达标；剩余约 10% 测试内容仍存在轻微问题，持续跟进排查与修复。</w:t>
      </w:r>
    </w:p>
    <w:p w14:paraId="1FBEB865">
      <w:pPr>
        <w:spacing w:before="120" w:after="40"/>
      </w:pPr>
      <w:r>
        <w:rPr>
          <w:rFonts w:ascii="微软雅黑" w:hAnsi="微软雅黑" w:eastAsia="微软雅黑"/>
          <w:b/>
          <w:color w:val="1F497D"/>
          <w:sz w:val="24"/>
        </w:rPr>
        <w:t>本周产出</w:t>
      </w:r>
    </w:p>
    <w:p w14:paraId="33E44BD7">
      <w:pPr>
        <w:spacing w:before="120" w:after="40"/>
        <w:jc w:val="center"/>
      </w:pPr>
      <w:r>
        <w:drawing>
          <wp:inline distT="0" distB="0" distL="114300" distR="114300">
            <wp:extent cx="5029200" cy="2828925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831FE">
      <w:pPr>
        <w:spacing w:after="200"/>
        <w:jc w:val="center"/>
      </w:pPr>
      <w:r>
        <w:rPr>
          <w:rFonts w:ascii="微软雅黑" w:hAnsi="微软雅黑" w:eastAsia="微软雅黑"/>
          <w:i/>
          <w:color w:val="595959"/>
          <w:sz w:val="18"/>
        </w:rPr>
        <w:t>图  告警中心 — 钉钉推送 + 自动闭环</w:t>
      </w:r>
    </w:p>
    <w:p w14:paraId="7958EA52">
      <w:pPr>
        <w:spacing w:before="120" w:after="40"/>
        <w:jc w:val="center"/>
      </w:pPr>
      <w:r>
        <w:drawing>
          <wp:inline distT="0" distB="0" distL="114300" distR="114300">
            <wp:extent cx="5029200" cy="2828925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157E1">
      <w:pPr>
        <w:spacing w:after="200"/>
        <w:jc w:val="center"/>
      </w:pPr>
      <w:r>
        <w:rPr>
          <w:rFonts w:ascii="微软雅黑" w:hAnsi="微软雅黑" w:eastAsia="微软雅黑"/>
          <w:i/>
          <w:color w:val="595959"/>
          <w:sz w:val="18"/>
        </w:rPr>
        <w:t>图  工单任务 — 手动派发 + 全流程闭环</w:t>
      </w:r>
    </w:p>
    <w:p w14:paraId="33F92C90">
      <w:r>
        <w:br w:type="page"/>
      </w:r>
    </w:p>
    <w:p w14:paraId="181B5D62">
      <w:pPr>
        <w:pBdr>
          <w:bottom w:val="single" w:color="1F497D" w:sz="12" w:space="4"/>
        </w:pBdr>
        <w:spacing w:before="280" w:after="160"/>
        <w:jc w:val="left"/>
      </w:pPr>
      <w:r>
        <w:rPr>
          <w:rFonts w:ascii="微软雅黑" w:hAnsi="微软雅黑" w:eastAsia="微软雅黑"/>
          <w:b/>
          <w:color w:val="1F497D"/>
          <w:sz w:val="36"/>
        </w:rPr>
        <w:t>三、重点项目成果</w:t>
      </w:r>
    </w:p>
    <w:p w14:paraId="4C4D8754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3.1 设备控制权限体系重构（核心项目）</w:t>
      </w:r>
    </w:p>
    <w:p w14:paraId="64C0A164">
      <w:pPr>
        <w:spacing w:after="80"/>
        <w:ind w:firstLine="420"/>
        <w:jc w:val="both"/>
      </w:pPr>
      <w:r>
        <w:rPr>
          <w:rFonts w:ascii="微软雅黑" w:hAnsi="微软雅黑" w:eastAsia="微软雅黑"/>
          <w:b w:val="0"/>
          <w:sz w:val="21"/>
        </w:rPr>
        <w:t>原「单用户单设备控制」模式存在多端抢占、权限残留、消息错乱等隐患，本月将权限模型重构为「单设备单 Token 唯一占用」，从底层保证设备控制权的唯一性。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9"/>
        <w:gridCol w:w="3249"/>
        <w:gridCol w:w="3249"/>
      </w:tblGrid>
      <w:tr w14:paraId="223CE5B4">
        <w:trPr>
          <w:jc w:val="center"/>
        </w:trPr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257F256F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对比项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580DE8EA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重构前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13E7E2C2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重构后</w:t>
            </w:r>
          </w:p>
        </w:tc>
      </w:tr>
      <w:tr w14:paraId="6E107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E687173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权限模型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D182E96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单用户单设备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68C4C8F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单设备单 Token 唯一占用</w:t>
            </w:r>
          </w:p>
        </w:tc>
      </w:tr>
      <w:tr w14:paraId="0245A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1501C2B0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多端抢占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6A57D1F0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存在冲突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5F800BBB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彻底解决</w:t>
            </w:r>
          </w:p>
        </w:tc>
      </w:tr>
      <w:tr w14:paraId="4EBBF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A17F5BC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权限残留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AB51E6B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偶发滞留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112E2F1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路由切换即释放</w:t>
            </w:r>
          </w:p>
        </w:tc>
      </w:tr>
      <w:tr w14:paraId="5A5F9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670CE718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跨端测试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4D276740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未覆盖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0E315FAD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Web/APP 跨端 4 场景全闭环</w:t>
            </w:r>
          </w:p>
        </w:tc>
      </w:tr>
      <w:tr w14:paraId="72A9F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1D7D3B56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WS 连接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8EAF8E4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多页面重复连接</w:t>
            </w:r>
          </w:p>
        </w:tc>
        <w:tc>
          <w:tcPr>
            <w:tcW w:w="3249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1FA84D4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单页面单连接 + 自动销毁</w:t>
            </w:r>
          </w:p>
        </w:tc>
      </w:tr>
    </w:tbl>
    <w:p w14:paraId="5DB1B793"/>
    <w:p w14:paraId="72C00037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3.</w:t>
      </w:r>
      <w:r>
        <w:rPr>
          <w:rFonts w:hint="eastAsia"/>
          <w:b/>
          <w:color w:val="2E74B5"/>
          <w:sz w:val="28"/>
          <w:lang w:val="en-US" w:eastAsia="zh-CN"/>
        </w:rPr>
        <w:t>2</w:t>
      </w:r>
      <w:r>
        <w:rPr>
          <w:rFonts w:ascii="微软雅黑" w:hAnsi="微软雅黑" w:eastAsia="微软雅黑"/>
          <w:b/>
          <w:color w:val="2E74B5"/>
          <w:sz w:val="28"/>
        </w:rPr>
        <w:t xml:space="preserve"> 路由架构二级改造（平台升级）</w:t>
      </w:r>
    </w:p>
    <w:p w14:paraId="7C2B7836">
      <w:pPr>
        <w:spacing w:after="80"/>
        <w:ind w:firstLine="420"/>
        <w:jc w:val="both"/>
      </w:pPr>
      <w:r>
        <w:rPr>
          <w:rFonts w:ascii="微软雅黑" w:hAnsi="微软雅黑" w:eastAsia="微软雅黑"/>
          <w:b w:val="0"/>
          <w:sz w:val="21"/>
        </w:rPr>
        <w:t>为解决页面层级不清、跳转混乱的问题，本月完成路由从一级到二级架构的整体升级。</w:t>
      </w:r>
    </w:p>
    <w:p w14:paraId="1385F4DD">
      <w:pPr>
        <w:pStyle w:val="16"/>
        <w:spacing w:after="40"/>
      </w:pPr>
      <w:r>
        <w:rPr>
          <w:rFonts w:ascii="微软雅黑" w:hAnsi="微软雅黑" w:eastAsia="微软雅黑"/>
          <w:sz w:val="21"/>
        </w:rPr>
        <w:t>梳理页面层级结构，整体架构更清晰规范；</w:t>
      </w:r>
    </w:p>
    <w:p w14:paraId="0E61CAB3">
      <w:pPr>
        <w:pStyle w:val="16"/>
        <w:spacing w:after="40"/>
      </w:pPr>
      <w:r>
        <w:rPr>
          <w:rFonts w:ascii="微软雅黑" w:hAnsi="微软雅黑" w:eastAsia="微软雅黑"/>
          <w:sz w:val="21"/>
        </w:rPr>
        <w:t>重点优化设备总览、设备状态详情页面的路由跳转逻辑，解决跳转异常、定位不准等问题；</w:t>
      </w:r>
    </w:p>
    <w:p w14:paraId="1A527EF6">
      <w:pPr>
        <w:pStyle w:val="16"/>
        <w:spacing w:after="40"/>
      </w:pPr>
      <w:r>
        <w:rPr>
          <w:rFonts w:ascii="微软雅黑" w:hAnsi="微软雅黑" w:eastAsia="微软雅黑"/>
          <w:sz w:val="21"/>
        </w:rPr>
        <w:t>页面访问体验与可维护性显著提升。</w:t>
      </w:r>
    </w:p>
    <w:p w14:paraId="4336C475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3.</w:t>
      </w:r>
      <w:r>
        <w:rPr>
          <w:rFonts w:hint="eastAsia"/>
          <w:b/>
          <w:color w:val="2E74B5"/>
          <w:sz w:val="28"/>
          <w:lang w:val="en-US" w:eastAsia="zh-CN"/>
        </w:rPr>
        <w:t>3</w:t>
      </w:r>
      <w:r>
        <w:rPr>
          <w:rFonts w:ascii="微软雅黑" w:hAnsi="微软雅黑" w:eastAsia="微软雅黑"/>
          <w:b/>
          <w:color w:val="2E74B5"/>
          <w:sz w:val="28"/>
        </w:rPr>
        <w:t xml:space="preserve"> 软件著作权申报</w:t>
      </w:r>
    </w:p>
    <w:p w14:paraId="2FA8230F">
      <w:pPr>
        <w:spacing w:after="80"/>
        <w:ind w:firstLine="420"/>
        <w:jc w:val="both"/>
      </w:pPr>
      <w:r>
        <w:rPr>
          <w:rFonts w:ascii="微软雅黑" w:hAnsi="微软雅黑" w:eastAsia="微软雅黑"/>
          <w:b w:val="0"/>
          <w:sz w:val="21"/>
        </w:rPr>
        <w:t>本月独立完成软件著作权申报材料撰写，覆盖系统创新点、功能架构与应用场景，并依据审核反馈持续完善。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3"/>
        <w:gridCol w:w="4873"/>
      </w:tblGrid>
      <w:tr w14:paraId="16268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EAF1FA"/>
            <w:vAlign w:val="center"/>
          </w:tcPr>
          <w:p w14:paraId="70ECC44C">
            <w:r>
              <w:rPr>
                <w:rFonts w:ascii="微软雅黑" w:hAnsi="微软雅黑" w:eastAsia="微软雅黑"/>
                <w:b/>
                <w:sz w:val="21"/>
              </w:rPr>
              <w:t>软件名称</w:t>
            </w:r>
          </w:p>
        </w:tc>
        <w:tc>
          <w:tcPr>
            <w:tcW w:w="72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2488D77">
            <w:r>
              <w:rPr>
                <w:rFonts w:ascii="微软雅黑" w:hAnsi="微软雅黑" w:eastAsia="微软雅黑"/>
                <w:sz w:val="21"/>
              </w:rPr>
              <w:t>光伏机器人环境感知服务平台</w:t>
            </w:r>
          </w:p>
        </w:tc>
      </w:tr>
      <w:tr w14:paraId="0894D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EAF1FA"/>
            <w:vAlign w:val="center"/>
          </w:tcPr>
          <w:p w14:paraId="5293CEE8">
            <w:r>
              <w:rPr>
                <w:rFonts w:ascii="微软雅黑" w:hAnsi="微软雅黑" w:eastAsia="微软雅黑"/>
                <w:b/>
                <w:sz w:val="21"/>
              </w:rPr>
              <w:t>软件简称</w:t>
            </w:r>
          </w:p>
        </w:tc>
        <w:tc>
          <w:tcPr>
            <w:tcW w:w="72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72948A9">
            <w:r>
              <w:rPr>
                <w:rFonts w:ascii="微软雅黑" w:hAnsi="微软雅黑" w:eastAsia="微软雅黑"/>
                <w:sz w:val="21"/>
              </w:rPr>
              <w:t>光伏智能运维系统</w:t>
            </w:r>
          </w:p>
        </w:tc>
      </w:tr>
      <w:tr w14:paraId="41B7F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EAF1FA"/>
            <w:vAlign w:val="center"/>
          </w:tcPr>
          <w:p w14:paraId="62C3CA3F">
            <w:r>
              <w:rPr>
                <w:rFonts w:ascii="微软雅黑" w:hAnsi="微软雅黑" w:eastAsia="微软雅黑"/>
                <w:b/>
                <w:sz w:val="21"/>
              </w:rPr>
              <w:t>版本号</w:t>
            </w:r>
          </w:p>
        </w:tc>
        <w:tc>
          <w:tcPr>
            <w:tcW w:w="72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1DFA078">
            <w:r>
              <w:rPr>
                <w:rFonts w:ascii="微软雅黑" w:hAnsi="微软雅黑" w:eastAsia="微软雅黑"/>
                <w:sz w:val="21"/>
              </w:rPr>
              <w:t>V1.0</w:t>
            </w:r>
          </w:p>
        </w:tc>
      </w:tr>
      <w:tr w14:paraId="72ED5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EAF1FA"/>
            <w:vAlign w:val="center"/>
          </w:tcPr>
          <w:p w14:paraId="6734FACC">
            <w:r>
              <w:rPr>
                <w:rFonts w:ascii="微软雅黑" w:hAnsi="微软雅黑" w:eastAsia="微软雅黑"/>
                <w:b/>
                <w:sz w:val="21"/>
              </w:rPr>
              <w:t>源程序量</w:t>
            </w:r>
          </w:p>
        </w:tc>
        <w:tc>
          <w:tcPr>
            <w:tcW w:w="72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8DED976">
            <w:r>
              <w:rPr>
                <w:rFonts w:ascii="微软雅黑" w:hAnsi="微软雅黑" w:eastAsia="微软雅黑"/>
                <w:sz w:val="21"/>
              </w:rPr>
              <w:t>约 53700 行</w:t>
            </w:r>
          </w:p>
        </w:tc>
      </w:tr>
      <w:tr w14:paraId="5B3F1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EAF1FA"/>
            <w:vAlign w:val="center"/>
          </w:tcPr>
          <w:p w14:paraId="6642DE1D">
            <w:r>
              <w:rPr>
                <w:rFonts w:ascii="微软雅黑" w:hAnsi="微软雅黑" w:eastAsia="微软雅黑"/>
                <w:b/>
                <w:sz w:val="21"/>
              </w:rPr>
              <w:t>主要功能</w:t>
            </w:r>
          </w:p>
        </w:tc>
        <w:tc>
          <w:tcPr>
            <w:tcW w:w="72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D0FE83D">
            <w:r>
              <w:rPr>
                <w:rFonts w:ascii="微软雅黑" w:hAnsi="微软雅黑" w:eastAsia="微软雅黑"/>
                <w:sz w:val="21"/>
              </w:rPr>
              <w:t>10 大模块，701 字详述</w:t>
            </w:r>
          </w:p>
        </w:tc>
      </w:tr>
      <w:tr w14:paraId="60F82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EAF1FA"/>
            <w:vAlign w:val="center"/>
          </w:tcPr>
          <w:p w14:paraId="59509125">
            <w:r>
              <w:rPr>
                <w:rFonts w:ascii="微软雅黑" w:hAnsi="微软雅黑" w:eastAsia="微软雅黑"/>
                <w:b/>
                <w:sz w:val="21"/>
              </w:rPr>
              <w:t>文档产出</w:t>
            </w:r>
          </w:p>
        </w:tc>
        <w:tc>
          <w:tcPr>
            <w:tcW w:w="72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4A0B8771">
            <w:r>
              <w:rPr>
                <w:rFonts w:ascii="微软雅黑" w:hAnsi="微软雅黑" w:eastAsia="微软雅黑"/>
                <w:sz w:val="21"/>
              </w:rPr>
              <w:t>用户操作手册（13 章 / 16 张截图）+ 软著采集表 + SOP</w:t>
            </w:r>
          </w:p>
        </w:tc>
      </w:tr>
    </w:tbl>
    <w:p w14:paraId="55D67AA3">
      <w:r>
        <w:br w:type="page"/>
      </w:r>
    </w:p>
    <w:p w14:paraId="46D89B5E">
      <w:pPr>
        <w:pBdr>
          <w:bottom w:val="single" w:color="1F497D" w:sz="12" w:space="4"/>
        </w:pBdr>
        <w:spacing w:before="280" w:after="160"/>
        <w:jc w:val="left"/>
      </w:pPr>
      <w:r>
        <w:rPr>
          <w:rFonts w:ascii="微软雅黑" w:hAnsi="微软雅黑" w:eastAsia="微软雅黑"/>
          <w:b/>
          <w:color w:val="1F497D"/>
          <w:sz w:val="36"/>
        </w:rPr>
        <w:t>四、代码与文档产出</w:t>
      </w:r>
    </w:p>
    <w:p w14:paraId="552DB10E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4.1 月度代码提交概览</w:t>
      </w:r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9"/>
        <w:gridCol w:w="3249"/>
        <w:gridCol w:w="3249"/>
      </w:tblGrid>
      <w:tr w14:paraId="671BC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657B8ED3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时段</w:t>
            </w:r>
          </w:p>
        </w:tc>
        <w:tc>
          <w:tcPr>
            <w:tcW w:w="662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67BEA35F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主要方向</w:t>
            </w:r>
          </w:p>
        </w:tc>
        <w:tc>
          <w:tcPr>
            <w:tcW w:w="14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1F497D"/>
            <w:vAlign w:val="center"/>
          </w:tcPr>
          <w:p w14:paraId="482F6DC9"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21"/>
              </w:rPr>
              <w:t>提交次数</w:t>
            </w:r>
          </w:p>
        </w:tc>
      </w:tr>
      <w:tr w14:paraId="1D169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390D5FF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8 月上旬</w:t>
            </w:r>
          </w:p>
        </w:tc>
        <w:tc>
          <w:tcPr>
            <w:tcW w:w="662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6CB0695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中英文切换 / 二级路由 / 设备参数滑块 / 派单优化 / 推拉流</w:t>
            </w:r>
          </w:p>
        </w:tc>
        <w:tc>
          <w:tcPr>
            <w:tcW w:w="14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E6DF909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17 次</w:t>
            </w:r>
          </w:p>
        </w:tc>
      </w:tr>
      <w:tr w14:paraId="5D158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05AAD276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8 月中旬</w:t>
            </w:r>
          </w:p>
        </w:tc>
        <w:tc>
          <w:tcPr>
            <w:tcW w:w="662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3C8E2F1D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二级菜单 / 状态机解耦 / 文档产出 / iOS 适配 / 软著推进</w:t>
            </w:r>
          </w:p>
        </w:tc>
        <w:tc>
          <w:tcPr>
            <w:tcW w:w="14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5226E6C7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12 次</w:t>
            </w:r>
          </w:p>
        </w:tc>
      </w:tr>
      <w:tr w14:paraId="6A530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7E482431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8 月下旬</w:t>
            </w:r>
          </w:p>
        </w:tc>
        <w:tc>
          <w:tcPr>
            <w:tcW w:w="662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21AB531D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MQTT 优化 / WS 时序 / 控制权限重构 / 路径联调</w:t>
            </w:r>
          </w:p>
        </w:tc>
        <w:tc>
          <w:tcPr>
            <w:tcW w:w="14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0F833962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13 次</w:t>
            </w:r>
          </w:p>
        </w:tc>
      </w:tr>
      <w:tr w14:paraId="65690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14DAB332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8 月底</w:t>
            </w:r>
          </w:p>
        </w:tc>
        <w:tc>
          <w:tcPr>
            <w:tcW w:w="662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7EE362D6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告警闭环 / 工单派发 / 钉钉推送 / TodoList / Bug 修复</w:t>
            </w:r>
          </w:p>
        </w:tc>
        <w:tc>
          <w:tcPr>
            <w:tcW w:w="14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6FB"/>
            <w:vAlign w:val="center"/>
          </w:tcPr>
          <w:p w14:paraId="27D5D2D0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16 次</w:t>
            </w:r>
          </w:p>
        </w:tc>
      </w:tr>
      <w:tr w14:paraId="2DC30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62811A21">
            <w:pPr>
              <w:jc w:val="center"/>
            </w:pPr>
            <w:r>
              <w:rPr>
                <w:rFonts w:ascii="微软雅黑" w:hAnsi="微软雅黑" w:eastAsia="微软雅黑"/>
                <w:sz w:val="20"/>
              </w:rPr>
              <w:t>合计</w:t>
            </w:r>
          </w:p>
        </w:tc>
        <w:tc>
          <w:tcPr>
            <w:tcW w:w="6624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5A235851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—</w:t>
            </w:r>
          </w:p>
        </w:tc>
        <w:tc>
          <w:tcPr>
            <w:tcW w:w="14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vAlign w:val="center"/>
          </w:tcPr>
          <w:p w14:paraId="39BDDA4A">
            <w:pPr>
              <w:jc w:val="left"/>
            </w:pPr>
            <w:r>
              <w:rPr>
                <w:rFonts w:ascii="微软雅黑" w:hAnsi="微软雅黑" w:eastAsia="微软雅黑"/>
                <w:sz w:val="20"/>
              </w:rPr>
              <w:t>58 次</w:t>
            </w:r>
          </w:p>
        </w:tc>
      </w:tr>
    </w:tbl>
    <w:p w14:paraId="12EE1D84"/>
    <w:p w14:paraId="764EDDF1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4.2 主要文档清单</w:t>
      </w:r>
    </w:p>
    <w:p w14:paraId="06145E73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《用户操作手册》——13 章 ~15 页，含 16 张页面截图</w:t>
      </w:r>
    </w:p>
    <w:p w14:paraId="626FDEA4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《软件著作权采集表》——20 个字段全覆盖（路径 / 软著/采集表(已填写).doc）</w:t>
      </w:r>
    </w:p>
    <w:p w14:paraId="2860F607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《SOP 操作文档》——Web 端路径规划完整操作流程，便于人员交接与业务落地</w:t>
      </w:r>
    </w:p>
    <w:p w14:paraId="0E6DD256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《ios.md 技术文档》——iOS 端调试要点、适配细节、问题复盘</w:t>
      </w:r>
    </w:p>
    <w:p w14:paraId="2D2D45E3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《声网视频接入说明》——Agora 接入方式、Token 安全风险与改造建议</w:t>
      </w:r>
    </w:p>
    <w:p w14:paraId="2B2964CD">
      <w:pPr>
        <w:pStyle w:val="16"/>
        <w:spacing w:after="40"/>
      </w:pPr>
      <w:r>
        <w:rPr>
          <w:rFonts w:ascii="微软雅黑" w:hAnsi="微软雅黑" w:eastAsia="微软雅黑"/>
          <w:sz w:val="21"/>
        </w:rPr>
        <w:t>《系统架构设计文档》——html 版，便于浏览与跨部门评审</w:t>
      </w:r>
      <w:r>
        <w:br w:type="page"/>
      </w:r>
    </w:p>
    <w:p w14:paraId="0FC6CFDB">
      <w:pPr>
        <w:pBdr>
          <w:bottom w:val="single" w:color="1F497D" w:sz="12" w:space="4"/>
        </w:pBdr>
        <w:spacing w:before="280" w:after="160"/>
        <w:jc w:val="left"/>
      </w:pPr>
      <w:r>
        <w:rPr>
          <w:rFonts w:ascii="微软雅黑" w:hAnsi="微软雅黑" w:eastAsia="微软雅黑"/>
          <w:b/>
          <w:color w:val="1F497D"/>
          <w:sz w:val="36"/>
        </w:rPr>
        <w:t>五、工作总结与反思</w:t>
      </w:r>
    </w:p>
    <w:p w14:paraId="6355E3DD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5.1 本月做得好的方面</w:t>
      </w:r>
    </w:p>
    <w:p w14:paraId="6298A775">
      <w:pPr>
        <w:pStyle w:val="16"/>
        <w:spacing w:after="40"/>
      </w:pPr>
      <w:r>
        <w:rPr>
          <w:rFonts w:ascii="微软雅黑" w:hAnsi="微软雅黑" w:eastAsia="微软雅黑"/>
          <w:sz w:val="21"/>
        </w:rPr>
        <w:t>持续推进苏州算法联调：从 8 月初启动到 8 月底收尾，完整跑通路径规划全流程，并完成现场演示保障，业务链路闭合度较高。</w:t>
      </w:r>
    </w:p>
    <w:p w14:paraId="011C0551">
      <w:pPr>
        <w:pStyle w:val="16"/>
        <w:spacing w:after="40"/>
      </w:pPr>
      <w:r>
        <w:rPr>
          <w:rFonts w:ascii="微软雅黑" w:hAnsi="微软雅黑" w:eastAsia="微软雅黑"/>
          <w:sz w:val="21"/>
        </w:rPr>
        <w:t>控制权限重构扎实：模型从设计、迁移到全场景测试均严格闭环，覆盖 Web/APP 双端 4 种跨端场景。</w:t>
      </w:r>
    </w:p>
    <w:p w14:paraId="20FA206E">
      <w:pPr>
        <w:pStyle w:val="16"/>
        <w:spacing w:after="40"/>
      </w:pPr>
      <w:r>
        <w:rPr>
          <w:rFonts w:ascii="微软雅黑" w:hAnsi="微软雅黑" w:eastAsia="微软雅黑"/>
          <w:sz w:val="21"/>
        </w:rPr>
        <w:t>代码质量与可维护性提升：完成路由组件拆分、设备参数组件抽离，为后续迭代打好基础。</w:t>
      </w:r>
    </w:p>
    <w:p w14:paraId="62DE3040">
      <w:pPr>
        <w:pStyle w:val="16"/>
        <w:spacing w:after="40"/>
      </w:pPr>
      <w:r>
        <w:rPr>
          <w:rFonts w:ascii="微软雅黑" w:hAnsi="微软雅黑" w:eastAsia="微软雅黑"/>
          <w:sz w:val="21"/>
        </w:rPr>
        <w:t>文档与材料齐头并进：在迭代开发的同时，同步输出用户手册、软著材料、SOP 等关键文档，沉淀团队知识资产。</w:t>
      </w:r>
    </w:p>
    <w:p w14:paraId="61039AFE">
      <w:pPr>
        <w:pStyle w:val="16"/>
        <w:spacing w:after="40"/>
      </w:pPr>
      <w:r>
        <w:rPr>
          <w:rFonts w:ascii="微软雅黑" w:hAnsi="微软雅黑" w:eastAsia="微软雅黑"/>
          <w:sz w:val="21"/>
        </w:rPr>
        <w:t>跨端协同高效：与 APP 端保持紧密指导与测试验收节奏，确保双端业务逻辑统一、交互闭环。</w:t>
      </w:r>
    </w:p>
    <w:p w14:paraId="0E0CDD9B">
      <w:pPr>
        <w:spacing w:before="200" w:after="80"/>
      </w:pPr>
      <w:r>
        <w:rPr>
          <w:rFonts w:ascii="微软雅黑" w:hAnsi="微软雅黑" w:eastAsia="微软雅黑"/>
          <w:b/>
          <w:color w:val="2E74B5"/>
          <w:sz w:val="28"/>
        </w:rPr>
        <w:t>5.2 待提升与反思</w:t>
      </w:r>
    </w:p>
    <w:p w14:paraId="357403E1">
      <w:pPr>
        <w:pStyle w:val="16"/>
        <w:spacing w:after="40"/>
      </w:pPr>
      <w:r>
        <w:rPr>
          <w:rFonts w:ascii="微软雅黑" w:hAnsi="微软雅黑" w:eastAsia="微软雅黑"/>
          <w:sz w:val="21"/>
        </w:rPr>
        <w:t>设备参数配置模块：因下位机未完成全量测试，整体联调暂未完成，需在下月优先推进。</w:t>
      </w:r>
    </w:p>
    <w:p w14:paraId="2D869443">
      <w:pPr>
        <w:pStyle w:val="16"/>
        <w:spacing w:after="40"/>
      </w:pPr>
      <w:r>
        <w:rPr>
          <w:rFonts w:ascii="微软雅黑" w:hAnsi="微软雅黑" w:eastAsia="微软雅黑"/>
          <w:sz w:val="21"/>
        </w:rPr>
        <w:t>国际化覆盖：尚有约 1070 个 t() key 在中英文 locale 中缺失、69 个文件约 1403 行硬编码中文待处理，需要分批推进。</w:t>
      </w:r>
    </w:p>
    <w:p w14:paraId="4D12B077">
      <w:pPr>
        <w:pStyle w:val="16"/>
        <w:spacing w:after="40"/>
      </w:pPr>
      <w:r>
        <w:rPr>
          <w:rFonts w:ascii="微软雅黑" w:hAnsi="微软雅黑" w:eastAsia="微软雅黑"/>
          <w:sz w:val="21"/>
        </w:rPr>
        <w:t>APP 端收尾：仍有约 10% 测试点存在轻微问题，需持续跟进排查与修复。</w:t>
      </w:r>
    </w:p>
    <w:p w14:paraId="3746F12A">
      <w:pPr>
        <w:pStyle w:val="16"/>
        <w:spacing w:after="40"/>
      </w:pPr>
      <w:r>
        <w:rPr>
          <w:rFonts w:ascii="微软雅黑" w:hAnsi="微软雅黑" w:eastAsia="微软雅黑"/>
          <w:sz w:val="21"/>
        </w:rPr>
        <w:t>工单自动派发：当前仅完成手动派发逻辑，自动派发策略仍需后续迭代。</w:t>
      </w:r>
    </w:p>
    <w:p w14:paraId="4D346EA7">
      <w:pPr>
        <w:pStyle w:val="16"/>
        <w:spacing w:after="40"/>
      </w:pPr>
      <w:r>
        <w:rPr>
          <w:rFonts w:ascii="微软雅黑" w:hAnsi="微软雅黑" w:eastAsia="微软雅黑"/>
          <w:sz w:val="21"/>
        </w:rPr>
        <w:t>二级路由后路径仍有抖动，地图地址接入在切换场站时偶发小问题，需进一步打磨。</w:t>
      </w:r>
    </w:p>
    <w:p w14:paraId="3FA29EA4"/>
    <w:p w14:paraId="1064A05F">
      <w:pPr>
        <w:spacing w:after="40"/>
        <w:ind w:firstLine="420"/>
        <w:jc w:val="right"/>
      </w:pPr>
      <w:r>
        <w:rPr>
          <w:rFonts w:ascii="微软雅黑" w:hAnsi="微软雅黑" w:eastAsia="微软雅黑"/>
          <w:b w:val="0"/>
          <w:sz w:val="21"/>
        </w:rPr>
        <w:t>以上为本人 2026 年 8 月工作月度报告的全部内容，请审阅。</w:t>
      </w:r>
    </w:p>
    <w:p w14:paraId="2A4CB919">
      <w:pPr>
        <w:spacing w:after="40"/>
        <w:jc w:val="right"/>
      </w:pPr>
      <w:r>
        <w:rPr>
          <w:rFonts w:ascii="微软雅黑" w:hAnsi="微软雅黑" w:eastAsia="微软雅黑"/>
          <w:b w:val="0"/>
          <w:sz w:val="21"/>
        </w:rPr>
        <w:t>报告人：葛昀</w:t>
      </w:r>
    </w:p>
    <w:p w14:paraId="5F56E399">
      <w:pPr>
        <w:spacing w:after="40"/>
        <w:jc w:val="right"/>
      </w:pPr>
      <w:r>
        <w:rPr>
          <w:rFonts w:ascii="微软雅黑" w:hAnsi="微软雅黑" w:eastAsia="微软雅黑"/>
          <w:b w:val="0"/>
          <w:sz w:val="21"/>
        </w:rPr>
        <w:t>日期：2026 年 9 月</w:t>
      </w:r>
    </w:p>
    <w:sectPr>
      <w:pgSz w:w="12240" w:h="15840"/>
      <w:pgMar w:top="1247" w:right="1247" w:bottom="1247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B49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2904</Words>
  <Characters>3154</Characters>
  <Lines>0</Lines>
  <Paragraphs>0</Paragraphs>
  <TotalTime>16</TotalTime>
  <ScaleCrop>false</ScaleCrop>
  <LinksUpToDate>false</LinksUpToDate>
  <CharactersWithSpaces>3363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15563</cp:lastModifiedBy>
  <dcterms:modified xsi:type="dcterms:W3CDTF">2026-09-22T11:26:19Z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eyJoZGlkIjoiYTlmZWVmYTlhZGY0NzM3MjRiOGFkYWQ1NzJiYjRiYWIiLCJ1c2VySWQiOiIzMDAzNjU1NTYifQ==</vt:lpwstr>
  </property>
  <property fmtid="{D5CDD505-2E9C-101B-9397-08002B2CF9AE}" pid="3" name="KSOProductBuildVer">
    <vt:lpwstr>2052-12.1.0.21171</vt:lpwstr>
  </property>
  <property fmtid="{D5CDD505-2E9C-101B-9397-08002B2CF9AE}" pid="4" name="ICV">
    <vt:lpwstr>31C43C676F1445D6923B6BFAA66D3F9F_12</vt:lpwstr>
  </property>
</Properties>
</file>